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C7839" w:rsidRPr="000F6171" w:rsidRDefault="00000000">
      <w:pPr>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10th Conference of the European Association of Health Law, “Navigating the Frontiers of Health Law in an Evolving Europe,” and a Young Scholars’ Workshop held at Uppsala University, Sweden, 9–11 September 2026</w:t>
      </w:r>
    </w:p>
    <w:p w:rsidR="00AC7839" w:rsidRPr="000F6171" w:rsidRDefault="00000000">
      <w:pPr>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 xml:space="preserve"> </w:t>
      </w:r>
    </w:p>
    <w:p w:rsidR="00AC7839" w:rsidRPr="000F6171" w:rsidRDefault="00000000">
      <w:pPr>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 xml:space="preserve"> </w:t>
      </w:r>
    </w:p>
    <w:p w:rsidR="00AC7839" w:rsidRPr="000F6171" w:rsidRDefault="00000000">
      <w:pPr>
        <w:spacing w:after="160" w:line="301" w:lineRule="auto"/>
        <w:jc w:val="both"/>
        <w:rPr>
          <w:rFonts w:ascii="Times New Roman" w:eastAsia="Times New Roman" w:hAnsi="Times New Roman" w:cs="Times New Roman"/>
          <w:b/>
          <w:bCs/>
          <w:sz w:val="24"/>
          <w:szCs w:val="24"/>
        </w:rPr>
      </w:pPr>
      <w:r w:rsidRPr="000F6171">
        <w:rPr>
          <w:rFonts w:ascii="Times New Roman" w:eastAsia="Times New Roman" w:hAnsi="Times New Roman" w:cs="Times New Roman"/>
          <w:b/>
          <w:bCs/>
          <w:sz w:val="24"/>
          <w:szCs w:val="24"/>
        </w:rPr>
        <w:t>Dear colleagues,</w:t>
      </w:r>
    </w:p>
    <w:p w:rsidR="00AC7839" w:rsidRPr="000F6171" w:rsidRDefault="00000000">
      <w:pPr>
        <w:spacing w:after="160" w:line="301" w:lineRule="auto"/>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It is with great enthusiasm that we announce the opening of registrations for our next EAHL Conference in Uppsala, Sweden, in September 2026.</w:t>
      </w:r>
    </w:p>
    <w:p w:rsidR="00AC7839" w:rsidRPr="000F6171" w:rsidRDefault="00000000">
      <w:pPr>
        <w:spacing w:after="160" w:line="301" w:lineRule="auto"/>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As Europe confronts a range of health challenges, health law frameworks must evolve to support essential transformations and innovations. This includes adapting to advancements in digitalization, technology, and care organization and delivery to enhance healthcare services, improve patient outcomes, and ensure robust protections for public health and individual rights during times of stability and turbulence.</w:t>
      </w:r>
    </w:p>
    <w:p w:rsidR="00AC7839" w:rsidRPr="000F6171" w:rsidRDefault="00000000">
      <w:pPr>
        <w:spacing w:after="160" w:line="301" w:lineRule="auto"/>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 xml:space="preserve">By focusing on the </w:t>
      </w:r>
      <w:r w:rsidRPr="000F6171">
        <w:rPr>
          <w:rFonts w:ascii="Times New Roman" w:eastAsia="Times New Roman" w:hAnsi="Times New Roman" w:cs="Times New Roman"/>
          <w:b/>
          <w:bCs/>
          <w:sz w:val="24"/>
          <w:szCs w:val="24"/>
        </w:rPr>
        <w:t>Frontiers of Health Law</w:t>
      </w:r>
      <w:r w:rsidRPr="000F6171">
        <w:rPr>
          <w:rFonts w:ascii="Times New Roman" w:eastAsia="Times New Roman" w:hAnsi="Times New Roman" w:cs="Times New Roman"/>
          <w:sz w:val="24"/>
          <w:szCs w:val="24"/>
        </w:rPr>
        <w:t xml:space="preserve">, the conference spotlights current challenges and emerging issues in the field, including new individual and public health threats, technological advancements, and the drivers of major societal trends. Moreover, it captures core health law principles—such as human dignity, integrity, and privacy—within an evolving European context, illustrating how these values are gaining new dimensions over time. The aspiration is not only to tackle diverse challenges but also to open discussions on the regulatory and systemic shifts needed in European health law. </w:t>
      </w:r>
    </w:p>
    <w:p w:rsidR="00AC7839" w:rsidRPr="000F6171" w:rsidRDefault="00000000">
      <w:pPr>
        <w:spacing w:after="160" w:line="301" w:lineRule="auto"/>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The EAHL 10</w:t>
      </w:r>
      <w:r w:rsidRPr="000F6171">
        <w:rPr>
          <w:rFonts w:ascii="Times New Roman" w:eastAsia="Times New Roman" w:hAnsi="Times New Roman" w:cs="Times New Roman"/>
          <w:sz w:val="24"/>
          <w:szCs w:val="24"/>
          <w:vertAlign w:val="superscript"/>
        </w:rPr>
        <w:t>th</w:t>
      </w:r>
      <w:r w:rsidRPr="000F6171">
        <w:rPr>
          <w:rFonts w:ascii="Times New Roman" w:eastAsia="Times New Roman" w:hAnsi="Times New Roman" w:cs="Times New Roman"/>
          <w:sz w:val="24"/>
          <w:szCs w:val="24"/>
        </w:rPr>
        <w:t xml:space="preserve"> conference aims to bring together health law scholars across Europe, and international colleagues, as well as policymakers, legal professionals, ethicists, and healthcare practitioners to discuss and shape the future of European health law. It seeks to offer participants insightful discussions on legal challenges, legal and policy development, compliance, and strategies to protect public health and safeguard individual rights in Europe.</w:t>
      </w:r>
    </w:p>
    <w:p w:rsidR="00AC7839" w:rsidRPr="000F6171" w:rsidRDefault="00000000">
      <w:pPr>
        <w:spacing w:after="160" w:line="301" w:lineRule="auto"/>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 xml:space="preserve">Key conference themes include rights, innovation, and solidarity. These will be captured by LL.D., former Chief Parliamentary Ombudsman, Former Judge at the Supreme Administrative Court in Sweden, and former Professor of Medical Law, </w:t>
      </w:r>
      <w:r w:rsidRPr="000F6171">
        <w:rPr>
          <w:rFonts w:ascii="Times New Roman" w:eastAsia="Times New Roman" w:hAnsi="Times New Roman" w:cs="Times New Roman"/>
          <w:b/>
          <w:bCs/>
          <w:sz w:val="24"/>
          <w:szCs w:val="24"/>
        </w:rPr>
        <w:t>Elisabeth Rynning</w:t>
      </w:r>
      <w:r w:rsidRPr="000F6171">
        <w:rPr>
          <w:rFonts w:ascii="Times New Roman" w:eastAsia="Times New Roman" w:hAnsi="Times New Roman" w:cs="Times New Roman"/>
          <w:sz w:val="24"/>
          <w:szCs w:val="24"/>
        </w:rPr>
        <w:t xml:space="preserve">; Professor </w:t>
      </w:r>
      <w:r w:rsidRPr="000F6171">
        <w:rPr>
          <w:rFonts w:ascii="Times New Roman" w:eastAsia="Times New Roman" w:hAnsi="Times New Roman" w:cs="Times New Roman"/>
          <w:b/>
          <w:bCs/>
          <w:sz w:val="24"/>
          <w:szCs w:val="24"/>
        </w:rPr>
        <w:t>Timo Minnsen</w:t>
      </w:r>
      <w:r w:rsidRPr="000F6171">
        <w:rPr>
          <w:rFonts w:ascii="Times New Roman" w:eastAsia="Times New Roman" w:hAnsi="Times New Roman" w:cs="Times New Roman"/>
          <w:sz w:val="24"/>
          <w:szCs w:val="24"/>
        </w:rPr>
        <w:t xml:space="preserve">; and Professor </w:t>
      </w:r>
      <w:r w:rsidRPr="000F6171">
        <w:rPr>
          <w:rFonts w:ascii="Times New Roman" w:eastAsia="Times New Roman" w:hAnsi="Times New Roman" w:cs="Times New Roman"/>
          <w:b/>
          <w:bCs/>
          <w:sz w:val="24"/>
          <w:szCs w:val="24"/>
        </w:rPr>
        <w:t>Anniek de Ruijter</w:t>
      </w:r>
      <w:r w:rsidRPr="000F6171">
        <w:rPr>
          <w:rFonts w:ascii="Times New Roman" w:eastAsia="Times New Roman" w:hAnsi="Times New Roman" w:cs="Times New Roman"/>
          <w:sz w:val="24"/>
          <w:szCs w:val="24"/>
        </w:rPr>
        <w:t xml:space="preserve">, followed by oral and poster presentations on broad scientific issues related to the conference theme and workshops. </w:t>
      </w:r>
    </w:p>
    <w:p w:rsidR="00AC7839" w:rsidRPr="000F6171" w:rsidRDefault="00000000">
      <w:pPr>
        <w:spacing w:after="160" w:line="301" w:lineRule="auto"/>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 xml:space="preserve">The conference includes a dedicated pre-conference for young scholars (by career stage, not age). Young scholars </w:t>
      </w:r>
      <w:r w:rsidRPr="000F6171">
        <w:rPr>
          <w:rFonts w:ascii="Times New Roman" w:eastAsia="Times New Roman" w:hAnsi="Times New Roman" w:cs="Times New Roman"/>
          <w:b/>
          <w:bCs/>
          <w:sz w:val="24"/>
          <w:szCs w:val="24"/>
        </w:rPr>
        <w:t>Cato Deprez</w:t>
      </w:r>
      <w:r w:rsidRPr="000F6171">
        <w:rPr>
          <w:rFonts w:ascii="Times New Roman" w:eastAsia="Times New Roman" w:hAnsi="Times New Roman" w:cs="Times New Roman"/>
          <w:sz w:val="24"/>
          <w:szCs w:val="24"/>
        </w:rPr>
        <w:t xml:space="preserve"> and </w:t>
      </w:r>
      <w:r w:rsidRPr="000F6171">
        <w:rPr>
          <w:rFonts w:ascii="Times New Roman" w:eastAsia="Times New Roman" w:hAnsi="Times New Roman" w:cs="Times New Roman"/>
          <w:b/>
          <w:bCs/>
          <w:sz w:val="24"/>
          <w:szCs w:val="24"/>
        </w:rPr>
        <w:t>Wendy Kwaku Yeboah</w:t>
      </w:r>
      <w:r w:rsidRPr="000F6171">
        <w:rPr>
          <w:rFonts w:ascii="Times New Roman" w:eastAsia="Times New Roman" w:hAnsi="Times New Roman" w:cs="Times New Roman"/>
          <w:sz w:val="24"/>
          <w:szCs w:val="24"/>
        </w:rPr>
        <w:t xml:space="preserve">, and Professor </w:t>
      </w:r>
      <w:r w:rsidRPr="000F6171">
        <w:rPr>
          <w:rFonts w:ascii="Times New Roman" w:eastAsia="Times New Roman" w:hAnsi="Times New Roman" w:cs="Times New Roman"/>
          <w:b/>
          <w:bCs/>
          <w:sz w:val="24"/>
          <w:szCs w:val="24"/>
        </w:rPr>
        <w:t>Tamara Hervey,</w:t>
      </w:r>
      <w:r w:rsidRPr="000F6171">
        <w:rPr>
          <w:rFonts w:ascii="Times New Roman" w:eastAsia="Times New Roman" w:hAnsi="Times New Roman" w:cs="Times New Roman"/>
          <w:sz w:val="24"/>
          <w:szCs w:val="24"/>
        </w:rPr>
        <w:t xml:space="preserve"> are co-offering a </w:t>
      </w:r>
      <w:proofErr w:type="gramStart"/>
      <w:r w:rsidRPr="000F6171">
        <w:rPr>
          <w:rFonts w:ascii="Times New Roman" w:eastAsia="Times New Roman" w:hAnsi="Times New Roman" w:cs="Times New Roman"/>
          <w:sz w:val="24"/>
          <w:szCs w:val="24"/>
        </w:rPr>
        <w:t>three hour</w:t>
      </w:r>
      <w:proofErr w:type="gramEnd"/>
      <w:r w:rsidRPr="000F6171">
        <w:rPr>
          <w:rFonts w:ascii="Times New Roman" w:eastAsia="Times New Roman" w:hAnsi="Times New Roman" w:cs="Times New Roman"/>
          <w:sz w:val="24"/>
          <w:szCs w:val="24"/>
        </w:rPr>
        <w:t xml:space="preserve"> programme of reflective learning, including on research methodologies and broader academic skills, to help our young EAHL scholars to navigate their own careers in </w:t>
      </w:r>
      <w:r w:rsidRPr="000F6171">
        <w:rPr>
          <w:rFonts w:ascii="Times New Roman" w:eastAsia="Times New Roman" w:hAnsi="Times New Roman" w:cs="Times New Roman"/>
          <w:sz w:val="24"/>
          <w:szCs w:val="24"/>
        </w:rPr>
        <w:lastRenderedPageBreak/>
        <w:t xml:space="preserve">their chosen discipline. This will provide valuable insights for all PhD students working in European health law, and may be suitable for some at post-doctoral </w:t>
      </w:r>
      <w:proofErr w:type="gramStart"/>
      <w:r w:rsidRPr="000F6171">
        <w:rPr>
          <w:rFonts w:ascii="Times New Roman" w:eastAsia="Times New Roman" w:hAnsi="Times New Roman" w:cs="Times New Roman"/>
          <w:sz w:val="24"/>
          <w:szCs w:val="24"/>
        </w:rPr>
        <w:t>level..</w:t>
      </w:r>
      <w:proofErr w:type="gramEnd"/>
    </w:p>
    <w:p w:rsidR="00AC7839" w:rsidRPr="000F6171" w:rsidRDefault="00000000">
      <w:pPr>
        <w:spacing w:after="160" w:line="301" w:lineRule="auto"/>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Oral and poster presentations, as well as workshops, aspire to capture broad scientific issues through the prism of the frontiers of health law including:</w:t>
      </w:r>
    </w:p>
    <w:p w:rsidR="00AC7839" w:rsidRPr="000F6171" w:rsidRDefault="00000000">
      <w:pPr>
        <w:spacing w:after="160" w:line="301" w:lineRule="auto"/>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1 Public Health, Prevention, and Health System Resilience Regulation. This covers, for example, legal responses to current and emerging public health challenges in Europe, including aging populations, mental health and behavioural addictions, infectious and non-communicable diseases, environmental health risks, antimicrobial resistance, and preparedness for health crises.</w:t>
      </w:r>
    </w:p>
    <w:p w:rsidR="00AC7839" w:rsidRPr="000F6171" w:rsidRDefault="00000000">
      <w:pPr>
        <w:spacing w:after="160" w:line="301" w:lineRule="auto"/>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2 Digital Health, Technology, and Innovation Governance. This includes legal and regulatory frameworks for digitalisation, AI, data use, and new healthcare technologies, addressing safety, effectiveness, cross-border care, accountability, and innovation within European health systems.</w:t>
      </w:r>
    </w:p>
    <w:p w:rsidR="00AC7839" w:rsidRPr="000F6171" w:rsidRDefault="00000000">
      <w:pPr>
        <w:spacing w:after="160" w:line="301" w:lineRule="auto"/>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3 Fundamental Rights, Ethics, and Values in European Health Law. This accounts for the evolving interpretation of core principles such as human dignity, autonomy, integrity, privacy, data protection and health itself in European health and medical law, including their application in clinical practice and public health measures.</w:t>
      </w:r>
    </w:p>
    <w:p w:rsidR="00AC7839" w:rsidRPr="000F6171" w:rsidRDefault="00000000">
      <w:pPr>
        <w:spacing w:after="160" w:line="301" w:lineRule="auto"/>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4 Equity, Access, and Resource Allocation in European Healthcare. This covers the legal and policy mechanisms to promote fairness, solidarity, and sustainability in healthcare access, priority-setting, funding allocation, and protection of vulnerable groups across Europe.</w:t>
      </w:r>
    </w:p>
    <w:p w:rsidR="00AC7839" w:rsidRPr="000F6171" w:rsidRDefault="00000000">
      <w:pPr>
        <w:spacing w:before="240" w:after="240"/>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5 Governance, Regulation, and Public–Private Collaboration. This includes regulatory approaches within a pluralistic European legal landscape, including interactions between EU and national law, the roles of public and private stakeholders, intellectual property and competition law, and collaborative models for healthcare delivery and innovation.</w:t>
      </w:r>
    </w:p>
    <w:p w:rsidR="00AC7839" w:rsidRPr="000F6171" w:rsidRDefault="00000000">
      <w:pPr>
        <w:spacing w:before="240" w:after="240"/>
        <w:jc w:val="both"/>
        <w:rPr>
          <w:rFonts w:ascii="Times New Roman" w:eastAsia="Times New Roman" w:hAnsi="Times New Roman" w:cs="Times New Roman"/>
          <w:sz w:val="24"/>
          <w:szCs w:val="24"/>
        </w:rPr>
      </w:pPr>
      <w:r w:rsidRPr="000F6171">
        <w:rPr>
          <w:rFonts w:ascii="Times New Roman" w:eastAsia="Times New Roman" w:hAnsi="Times New Roman" w:cs="Times New Roman"/>
          <w:b/>
          <w:bCs/>
          <w:sz w:val="24"/>
          <w:szCs w:val="24"/>
        </w:rPr>
        <w:t>The early bird registration is now open</w:t>
      </w:r>
      <w:r w:rsidRPr="000F6171">
        <w:rPr>
          <w:rFonts w:ascii="Times New Roman" w:eastAsia="Times New Roman" w:hAnsi="Times New Roman" w:cs="Times New Roman"/>
          <w:sz w:val="24"/>
          <w:szCs w:val="24"/>
        </w:rPr>
        <w:t xml:space="preserve">. We look forward to submissions covering the already indicated subthemes as well as those that expand their scope. </w:t>
      </w:r>
    </w:p>
    <w:p w:rsidR="00AC7839" w:rsidRPr="000F6171" w:rsidRDefault="00000000">
      <w:pPr>
        <w:spacing w:before="240" w:after="240"/>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 xml:space="preserve">To register, please visit: </w:t>
      </w:r>
      <w:hyperlink r:id="rId5">
        <w:r w:rsidR="00AC7839" w:rsidRPr="000F6171">
          <w:rPr>
            <w:rFonts w:ascii="Times New Roman" w:eastAsia="Times New Roman" w:hAnsi="Times New Roman" w:cs="Times New Roman"/>
            <w:color w:val="1155CC"/>
            <w:sz w:val="24"/>
            <w:szCs w:val="24"/>
            <w:u w:val="single"/>
          </w:rPr>
          <w:t>https://eahl2026.com</w:t>
        </w:r>
      </w:hyperlink>
      <w:r w:rsidRPr="000F6171">
        <w:rPr>
          <w:rFonts w:ascii="Times New Roman" w:eastAsia="Times New Roman" w:hAnsi="Times New Roman" w:cs="Times New Roman"/>
          <w:sz w:val="24"/>
          <w:szCs w:val="24"/>
        </w:rPr>
        <w:t xml:space="preserve">. </w:t>
      </w:r>
    </w:p>
    <w:p w:rsidR="00AC7839" w:rsidRPr="000F6171" w:rsidRDefault="00000000">
      <w:pPr>
        <w:spacing w:before="240" w:after="240"/>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Important deadlines:</w:t>
      </w:r>
    </w:p>
    <w:p w:rsidR="00AC7839" w:rsidRPr="000F6171" w:rsidRDefault="00000000">
      <w:pPr>
        <w:numPr>
          <w:ilvl w:val="0"/>
          <w:numId w:val="1"/>
        </w:numPr>
        <w:spacing w:before="240"/>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27 March 2026: Deadline for submissions</w:t>
      </w:r>
    </w:p>
    <w:p w:rsidR="00AC7839" w:rsidRPr="000F6171" w:rsidRDefault="00000000">
      <w:pPr>
        <w:numPr>
          <w:ilvl w:val="0"/>
          <w:numId w:val="1"/>
        </w:numPr>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 xml:space="preserve">5 May 2026: Final decisions about acceptance </w:t>
      </w:r>
    </w:p>
    <w:p w:rsidR="00AC7839" w:rsidRPr="000F6171" w:rsidRDefault="00000000">
      <w:pPr>
        <w:numPr>
          <w:ilvl w:val="0"/>
          <w:numId w:val="1"/>
        </w:numPr>
        <w:spacing w:after="240"/>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June 2026: Standard registration</w:t>
      </w:r>
    </w:p>
    <w:p w:rsidR="00AC7839" w:rsidRPr="000F6171" w:rsidRDefault="00000000">
      <w:pPr>
        <w:spacing w:before="240" w:after="240"/>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 xml:space="preserve">Conference fees: </w:t>
      </w:r>
    </w:p>
    <w:tbl>
      <w:tblPr>
        <w:tblStyle w:val="a5"/>
        <w:tblW w:w="8880" w:type="dxa"/>
        <w:tblInd w:w="0" w:type="dxa"/>
        <w:tblLayout w:type="fixed"/>
        <w:tblLook w:val="0600" w:firstRow="0" w:lastRow="0" w:firstColumn="0" w:lastColumn="0" w:noHBand="1" w:noVBand="1"/>
      </w:tblPr>
      <w:tblGrid>
        <w:gridCol w:w="2310"/>
        <w:gridCol w:w="3210"/>
        <w:gridCol w:w="3360"/>
      </w:tblGrid>
      <w:tr w:rsidR="00AC7839" w:rsidRPr="000F6171" w:rsidTr="000F6171">
        <w:trPr>
          <w:trHeight w:val="555"/>
        </w:trPr>
        <w:tc>
          <w:tcPr>
            <w:tcW w:w="2310" w:type="dxa"/>
            <w:tcMar>
              <w:top w:w="0" w:type="dxa"/>
              <w:left w:w="100" w:type="dxa"/>
              <w:bottom w:w="0" w:type="dxa"/>
              <w:right w:w="100" w:type="dxa"/>
            </w:tcMar>
          </w:tcPr>
          <w:p w:rsidR="00AC7839" w:rsidRPr="000F6171" w:rsidRDefault="00000000">
            <w:pPr>
              <w:jc w:val="both"/>
              <w:rPr>
                <w:rFonts w:ascii="Times New Roman" w:eastAsia="Calibri" w:hAnsi="Times New Roman" w:cs="Times New Roman"/>
                <w:sz w:val="24"/>
                <w:szCs w:val="24"/>
              </w:rPr>
            </w:pPr>
            <w:r w:rsidRPr="000F6171">
              <w:rPr>
                <w:rFonts w:ascii="Times New Roman" w:eastAsia="Calibri" w:hAnsi="Times New Roman" w:cs="Times New Roman"/>
                <w:sz w:val="24"/>
                <w:szCs w:val="24"/>
              </w:rPr>
              <w:t xml:space="preserve">Type: </w:t>
            </w:r>
          </w:p>
          <w:p w:rsidR="00AC7839" w:rsidRPr="000F6171" w:rsidRDefault="00000000">
            <w:pPr>
              <w:jc w:val="both"/>
              <w:rPr>
                <w:rFonts w:ascii="Times New Roman" w:eastAsia="Calibri" w:hAnsi="Times New Roman" w:cs="Times New Roman"/>
                <w:sz w:val="24"/>
                <w:szCs w:val="24"/>
              </w:rPr>
            </w:pPr>
            <w:r w:rsidRPr="000F6171">
              <w:rPr>
                <w:rFonts w:ascii="Times New Roman" w:eastAsia="Calibri" w:hAnsi="Times New Roman" w:cs="Times New Roman"/>
                <w:sz w:val="24"/>
                <w:szCs w:val="24"/>
              </w:rPr>
              <w:t xml:space="preserve"> </w:t>
            </w:r>
          </w:p>
        </w:tc>
        <w:tc>
          <w:tcPr>
            <w:tcW w:w="3210" w:type="dxa"/>
            <w:tcMar>
              <w:top w:w="0" w:type="dxa"/>
              <w:left w:w="100" w:type="dxa"/>
              <w:bottom w:w="0" w:type="dxa"/>
              <w:right w:w="100" w:type="dxa"/>
            </w:tcMar>
          </w:tcPr>
          <w:p w:rsidR="00AC7839" w:rsidRPr="000F6171" w:rsidRDefault="00000000">
            <w:pPr>
              <w:jc w:val="both"/>
              <w:rPr>
                <w:rFonts w:ascii="Times New Roman" w:eastAsia="Calibri" w:hAnsi="Times New Roman" w:cs="Times New Roman"/>
                <w:sz w:val="24"/>
                <w:szCs w:val="24"/>
              </w:rPr>
            </w:pPr>
            <w:r w:rsidRPr="000F6171">
              <w:rPr>
                <w:rFonts w:ascii="Times New Roman" w:eastAsia="Calibri" w:hAnsi="Times New Roman" w:cs="Times New Roman"/>
                <w:sz w:val="24"/>
                <w:szCs w:val="24"/>
              </w:rPr>
              <w:t xml:space="preserve">Early bird fee until 31 May 2026  </w:t>
            </w:r>
          </w:p>
        </w:tc>
        <w:tc>
          <w:tcPr>
            <w:tcW w:w="3360" w:type="dxa"/>
            <w:tcMar>
              <w:top w:w="0" w:type="dxa"/>
              <w:left w:w="100" w:type="dxa"/>
              <w:bottom w:w="0" w:type="dxa"/>
              <w:right w:w="100" w:type="dxa"/>
            </w:tcMar>
          </w:tcPr>
          <w:p w:rsidR="00AC7839" w:rsidRPr="000F6171" w:rsidRDefault="00000000">
            <w:pPr>
              <w:jc w:val="both"/>
              <w:rPr>
                <w:rFonts w:ascii="Times New Roman" w:eastAsia="Calibri" w:hAnsi="Times New Roman" w:cs="Times New Roman"/>
                <w:sz w:val="24"/>
                <w:szCs w:val="24"/>
              </w:rPr>
            </w:pPr>
            <w:r w:rsidRPr="000F6171">
              <w:rPr>
                <w:rFonts w:ascii="Times New Roman" w:eastAsia="Calibri" w:hAnsi="Times New Roman" w:cs="Times New Roman"/>
                <w:sz w:val="24"/>
                <w:szCs w:val="24"/>
              </w:rPr>
              <w:t>Standard fee from 1 June 2026</w:t>
            </w:r>
          </w:p>
        </w:tc>
      </w:tr>
      <w:tr w:rsidR="00AC7839" w:rsidRPr="000F6171" w:rsidTr="000F6171">
        <w:trPr>
          <w:trHeight w:val="555"/>
        </w:trPr>
        <w:tc>
          <w:tcPr>
            <w:tcW w:w="2310" w:type="dxa"/>
            <w:tcMar>
              <w:top w:w="0" w:type="dxa"/>
              <w:left w:w="100" w:type="dxa"/>
              <w:bottom w:w="0" w:type="dxa"/>
              <w:right w:w="100" w:type="dxa"/>
            </w:tcMar>
          </w:tcPr>
          <w:p w:rsidR="00AC7839" w:rsidRPr="000F6171" w:rsidRDefault="00000000">
            <w:pPr>
              <w:jc w:val="both"/>
              <w:rPr>
                <w:rFonts w:ascii="Times New Roman" w:eastAsia="Calibri" w:hAnsi="Times New Roman" w:cs="Times New Roman"/>
                <w:sz w:val="24"/>
                <w:szCs w:val="24"/>
              </w:rPr>
            </w:pPr>
            <w:r w:rsidRPr="000F6171">
              <w:rPr>
                <w:rFonts w:ascii="Times New Roman" w:eastAsia="Calibri" w:hAnsi="Times New Roman" w:cs="Times New Roman"/>
                <w:sz w:val="24"/>
                <w:szCs w:val="24"/>
              </w:rPr>
              <w:t>Delegate, member:</w:t>
            </w:r>
          </w:p>
        </w:tc>
        <w:tc>
          <w:tcPr>
            <w:tcW w:w="3210" w:type="dxa"/>
            <w:tcMar>
              <w:top w:w="0" w:type="dxa"/>
              <w:left w:w="100" w:type="dxa"/>
              <w:bottom w:w="0" w:type="dxa"/>
              <w:right w:w="100" w:type="dxa"/>
            </w:tcMar>
          </w:tcPr>
          <w:p w:rsidR="00AC7839" w:rsidRPr="000F6171" w:rsidRDefault="00000000">
            <w:pPr>
              <w:jc w:val="both"/>
              <w:rPr>
                <w:rFonts w:ascii="Times New Roman" w:eastAsia="Calibri" w:hAnsi="Times New Roman" w:cs="Times New Roman"/>
                <w:sz w:val="24"/>
                <w:szCs w:val="24"/>
              </w:rPr>
            </w:pPr>
            <w:r w:rsidRPr="000F6171">
              <w:rPr>
                <w:rFonts w:ascii="Times New Roman" w:eastAsia="Calibri" w:hAnsi="Times New Roman" w:cs="Times New Roman"/>
                <w:sz w:val="24"/>
                <w:szCs w:val="24"/>
              </w:rPr>
              <w:t>3 300 SEK (approx. 310 EUR)</w:t>
            </w:r>
          </w:p>
        </w:tc>
        <w:tc>
          <w:tcPr>
            <w:tcW w:w="3360" w:type="dxa"/>
            <w:tcMar>
              <w:top w:w="0" w:type="dxa"/>
              <w:left w:w="100" w:type="dxa"/>
              <w:bottom w:w="0" w:type="dxa"/>
              <w:right w:w="100" w:type="dxa"/>
            </w:tcMar>
          </w:tcPr>
          <w:p w:rsidR="00AC7839" w:rsidRPr="000F6171" w:rsidRDefault="00000000">
            <w:pPr>
              <w:jc w:val="both"/>
              <w:rPr>
                <w:rFonts w:ascii="Times New Roman" w:eastAsia="Calibri" w:hAnsi="Times New Roman" w:cs="Times New Roman"/>
                <w:sz w:val="24"/>
                <w:szCs w:val="24"/>
              </w:rPr>
            </w:pPr>
            <w:r w:rsidRPr="000F6171">
              <w:rPr>
                <w:rFonts w:ascii="Times New Roman" w:eastAsia="Calibri" w:hAnsi="Times New Roman" w:cs="Times New Roman"/>
                <w:sz w:val="24"/>
                <w:szCs w:val="24"/>
              </w:rPr>
              <w:t>4 000 SEK (approx. 375 EUR)</w:t>
            </w:r>
          </w:p>
        </w:tc>
      </w:tr>
      <w:tr w:rsidR="00AC7839" w:rsidRPr="000F6171" w:rsidTr="000F6171">
        <w:trPr>
          <w:trHeight w:val="555"/>
        </w:trPr>
        <w:tc>
          <w:tcPr>
            <w:tcW w:w="2310" w:type="dxa"/>
            <w:tcMar>
              <w:top w:w="0" w:type="dxa"/>
              <w:left w:w="100" w:type="dxa"/>
              <w:bottom w:w="0" w:type="dxa"/>
              <w:right w:w="100" w:type="dxa"/>
            </w:tcMar>
          </w:tcPr>
          <w:p w:rsidR="00AC7839" w:rsidRPr="000F6171" w:rsidRDefault="00000000">
            <w:pPr>
              <w:jc w:val="both"/>
              <w:rPr>
                <w:rFonts w:ascii="Times New Roman" w:eastAsia="Calibri" w:hAnsi="Times New Roman" w:cs="Times New Roman"/>
                <w:sz w:val="24"/>
                <w:szCs w:val="24"/>
              </w:rPr>
            </w:pPr>
            <w:r w:rsidRPr="000F6171">
              <w:rPr>
                <w:rFonts w:ascii="Times New Roman" w:eastAsia="Calibri" w:hAnsi="Times New Roman" w:cs="Times New Roman"/>
                <w:sz w:val="24"/>
                <w:szCs w:val="24"/>
              </w:rPr>
              <w:t>Delegate, non-member</w:t>
            </w:r>
          </w:p>
        </w:tc>
        <w:tc>
          <w:tcPr>
            <w:tcW w:w="3210" w:type="dxa"/>
            <w:tcMar>
              <w:top w:w="0" w:type="dxa"/>
              <w:left w:w="100" w:type="dxa"/>
              <w:bottom w:w="0" w:type="dxa"/>
              <w:right w:w="100" w:type="dxa"/>
            </w:tcMar>
          </w:tcPr>
          <w:p w:rsidR="00AC7839" w:rsidRPr="000F6171" w:rsidRDefault="00000000">
            <w:pPr>
              <w:jc w:val="both"/>
              <w:rPr>
                <w:rFonts w:ascii="Times New Roman" w:eastAsia="Calibri" w:hAnsi="Times New Roman" w:cs="Times New Roman"/>
                <w:sz w:val="24"/>
                <w:szCs w:val="24"/>
              </w:rPr>
            </w:pPr>
            <w:r w:rsidRPr="000F6171">
              <w:rPr>
                <w:rFonts w:ascii="Times New Roman" w:eastAsia="Calibri" w:hAnsi="Times New Roman" w:cs="Times New Roman"/>
                <w:sz w:val="24"/>
                <w:szCs w:val="24"/>
              </w:rPr>
              <w:t>3 800 SEK (approx. 350 EUR)</w:t>
            </w:r>
          </w:p>
        </w:tc>
        <w:tc>
          <w:tcPr>
            <w:tcW w:w="3360" w:type="dxa"/>
            <w:tcMar>
              <w:top w:w="0" w:type="dxa"/>
              <w:left w:w="100" w:type="dxa"/>
              <w:bottom w:w="0" w:type="dxa"/>
              <w:right w:w="100" w:type="dxa"/>
            </w:tcMar>
          </w:tcPr>
          <w:p w:rsidR="00AC7839" w:rsidRPr="000F6171" w:rsidRDefault="00000000">
            <w:pPr>
              <w:jc w:val="both"/>
              <w:rPr>
                <w:rFonts w:ascii="Times New Roman" w:eastAsia="Calibri" w:hAnsi="Times New Roman" w:cs="Times New Roman"/>
                <w:sz w:val="24"/>
                <w:szCs w:val="24"/>
              </w:rPr>
            </w:pPr>
            <w:r w:rsidRPr="000F6171">
              <w:rPr>
                <w:rFonts w:ascii="Times New Roman" w:eastAsia="Calibri" w:hAnsi="Times New Roman" w:cs="Times New Roman"/>
                <w:sz w:val="24"/>
                <w:szCs w:val="24"/>
              </w:rPr>
              <w:t>4 500 SEK (approx. 420 EUR)</w:t>
            </w:r>
          </w:p>
        </w:tc>
      </w:tr>
      <w:tr w:rsidR="00AC7839" w:rsidRPr="000F6171" w:rsidTr="000F6171">
        <w:trPr>
          <w:trHeight w:val="555"/>
        </w:trPr>
        <w:tc>
          <w:tcPr>
            <w:tcW w:w="2310" w:type="dxa"/>
            <w:tcMar>
              <w:top w:w="0" w:type="dxa"/>
              <w:left w:w="100" w:type="dxa"/>
              <w:bottom w:w="0" w:type="dxa"/>
              <w:right w:w="100" w:type="dxa"/>
            </w:tcMar>
          </w:tcPr>
          <w:p w:rsidR="00AC7839" w:rsidRPr="000F6171" w:rsidRDefault="00000000">
            <w:pPr>
              <w:jc w:val="both"/>
              <w:rPr>
                <w:rFonts w:ascii="Times New Roman" w:eastAsia="Calibri" w:hAnsi="Times New Roman" w:cs="Times New Roman"/>
                <w:sz w:val="24"/>
                <w:szCs w:val="24"/>
              </w:rPr>
            </w:pPr>
            <w:r w:rsidRPr="000F6171">
              <w:rPr>
                <w:rFonts w:ascii="Times New Roman" w:eastAsia="Calibri" w:hAnsi="Times New Roman" w:cs="Times New Roman"/>
                <w:sz w:val="24"/>
                <w:szCs w:val="24"/>
              </w:rPr>
              <w:t>Young Scholars, member:</w:t>
            </w:r>
          </w:p>
        </w:tc>
        <w:tc>
          <w:tcPr>
            <w:tcW w:w="3210" w:type="dxa"/>
            <w:tcMar>
              <w:top w:w="0" w:type="dxa"/>
              <w:left w:w="100" w:type="dxa"/>
              <w:bottom w:w="0" w:type="dxa"/>
              <w:right w:w="100" w:type="dxa"/>
            </w:tcMar>
          </w:tcPr>
          <w:p w:rsidR="00AC7839" w:rsidRPr="000F6171" w:rsidRDefault="00000000">
            <w:pPr>
              <w:jc w:val="both"/>
              <w:rPr>
                <w:rFonts w:ascii="Times New Roman" w:eastAsia="Calibri" w:hAnsi="Times New Roman" w:cs="Times New Roman"/>
                <w:sz w:val="24"/>
                <w:szCs w:val="24"/>
              </w:rPr>
            </w:pPr>
            <w:r w:rsidRPr="000F6171">
              <w:rPr>
                <w:rFonts w:ascii="Times New Roman" w:eastAsia="Calibri" w:hAnsi="Times New Roman" w:cs="Times New Roman"/>
                <w:sz w:val="24"/>
                <w:szCs w:val="24"/>
              </w:rPr>
              <w:t>1 300 SEK (approx. 125 EUR)</w:t>
            </w:r>
          </w:p>
        </w:tc>
        <w:tc>
          <w:tcPr>
            <w:tcW w:w="3360" w:type="dxa"/>
            <w:tcMar>
              <w:top w:w="0" w:type="dxa"/>
              <w:left w:w="100" w:type="dxa"/>
              <w:bottom w:w="0" w:type="dxa"/>
              <w:right w:w="100" w:type="dxa"/>
            </w:tcMar>
          </w:tcPr>
          <w:p w:rsidR="00AC7839" w:rsidRPr="000F6171" w:rsidRDefault="00000000">
            <w:pPr>
              <w:jc w:val="both"/>
              <w:rPr>
                <w:rFonts w:ascii="Times New Roman" w:eastAsia="Calibri" w:hAnsi="Times New Roman" w:cs="Times New Roman"/>
                <w:sz w:val="24"/>
                <w:szCs w:val="24"/>
              </w:rPr>
            </w:pPr>
            <w:r w:rsidRPr="000F6171">
              <w:rPr>
                <w:rFonts w:ascii="Times New Roman" w:eastAsia="Calibri" w:hAnsi="Times New Roman" w:cs="Times New Roman"/>
                <w:sz w:val="24"/>
                <w:szCs w:val="24"/>
              </w:rPr>
              <w:t>2 000 SEK (approx. 190 EUR)</w:t>
            </w:r>
          </w:p>
        </w:tc>
      </w:tr>
      <w:tr w:rsidR="00AC7839" w:rsidRPr="000F6171" w:rsidTr="000F6171">
        <w:trPr>
          <w:trHeight w:val="555"/>
        </w:trPr>
        <w:tc>
          <w:tcPr>
            <w:tcW w:w="2310" w:type="dxa"/>
            <w:tcMar>
              <w:top w:w="0" w:type="dxa"/>
              <w:left w:w="100" w:type="dxa"/>
              <w:bottom w:w="0" w:type="dxa"/>
              <w:right w:w="100" w:type="dxa"/>
            </w:tcMar>
          </w:tcPr>
          <w:p w:rsidR="00AC7839" w:rsidRPr="000F6171" w:rsidRDefault="00000000">
            <w:pPr>
              <w:jc w:val="both"/>
              <w:rPr>
                <w:rFonts w:ascii="Times New Roman" w:eastAsia="Calibri" w:hAnsi="Times New Roman" w:cs="Times New Roman"/>
                <w:sz w:val="24"/>
                <w:szCs w:val="24"/>
              </w:rPr>
            </w:pPr>
            <w:r w:rsidRPr="000F6171">
              <w:rPr>
                <w:rFonts w:ascii="Times New Roman" w:eastAsia="Calibri" w:hAnsi="Times New Roman" w:cs="Times New Roman"/>
                <w:sz w:val="24"/>
                <w:szCs w:val="24"/>
              </w:rPr>
              <w:t>Young Scholars, non member</w:t>
            </w:r>
          </w:p>
        </w:tc>
        <w:tc>
          <w:tcPr>
            <w:tcW w:w="3210" w:type="dxa"/>
            <w:tcMar>
              <w:top w:w="0" w:type="dxa"/>
              <w:left w:w="100" w:type="dxa"/>
              <w:bottom w:w="0" w:type="dxa"/>
              <w:right w:w="100" w:type="dxa"/>
            </w:tcMar>
          </w:tcPr>
          <w:p w:rsidR="00AC7839" w:rsidRPr="000F6171" w:rsidRDefault="00000000">
            <w:pPr>
              <w:jc w:val="both"/>
              <w:rPr>
                <w:rFonts w:ascii="Times New Roman" w:eastAsia="Calibri" w:hAnsi="Times New Roman" w:cs="Times New Roman"/>
                <w:sz w:val="24"/>
                <w:szCs w:val="24"/>
              </w:rPr>
            </w:pPr>
            <w:r w:rsidRPr="000F6171">
              <w:rPr>
                <w:rFonts w:ascii="Times New Roman" w:eastAsia="Calibri" w:hAnsi="Times New Roman" w:cs="Times New Roman"/>
                <w:sz w:val="24"/>
                <w:szCs w:val="24"/>
              </w:rPr>
              <w:t>2 000 SEK (approx. 190 EUR)</w:t>
            </w:r>
          </w:p>
        </w:tc>
        <w:tc>
          <w:tcPr>
            <w:tcW w:w="3360" w:type="dxa"/>
            <w:tcMar>
              <w:top w:w="0" w:type="dxa"/>
              <w:left w:w="100" w:type="dxa"/>
              <w:bottom w:w="0" w:type="dxa"/>
              <w:right w:w="100" w:type="dxa"/>
            </w:tcMar>
          </w:tcPr>
          <w:p w:rsidR="00AC7839" w:rsidRPr="000F6171" w:rsidRDefault="00000000">
            <w:pPr>
              <w:jc w:val="both"/>
              <w:rPr>
                <w:rFonts w:ascii="Times New Roman" w:eastAsia="Calibri" w:hAnsi="Times New Roman" w:cs="Times New Roman"/>
                <w:sz w:val="24"/>
                <w:szCs w:val="24"/>
              </w:rPr>
            </w:pPr>
            <w:r w:rsidRPr="000F6171">
              <w:rPr>
                <w:rFonts w:ascii="Times New Roman" w:eastAsia="Calibri" w:hAnsi="Times New Roman" w:cs="Times New Roman"/>
                <w:sz w:val="24"/>
                <w:szCs w:val="24"/>
              </w:rPr>
              <w:t>2 500 SEK (approx. 235 EUR)</w:t>
            </w:r>
          </w:p>
        </w:tc>
      </w:tr>
      <w:tr w:rsidR="00AC7839" w:rsidRPr="000F6171" w:rsidTr="000F6171">
        <w:trPr>
          <w:trHeight w:val="92"/>
        </w:trPr>
        <w:tc>
          <w:tcPr>
            <w:tcW w:w="2310" w:type="dxa"/>
            <w:tcMar>
              <w:top w:w="0" w:type="dxa"/>
              <w:left w:w="100" w:type="dxa"/>
              <w:bottom w:w="0" w:type="dxa"/>
              <w:right w:w="100" w:type="dxa"/>
            </w:tcMar>
          </w:tcPr>
          <w:p w:rsidR="00AC7839" w:rsidRPr="000F6171" w:rsidRDefault="00000000">
            <w:pPr>
              <w:jc w:val="both"/>
              <w:rPr>
                <w:rFonts w:ascii="Times New Roman" w:eastAsia="Calibri" w:hAnsi="Times New Roman" w:cs="Times New Roman"/>
                <w:sz w:val="24"/>
                <w:szCs w:val="24"/>
              </w:rPr>
            </w:pPr>
            <w:r w:rsidRPr="000F6171">
              <w:rPr>
                <w:rFonts w:ascii="Times New Roman" w:eastAsia="Calibri" w:hAnsi="Times New Roman" w:cs="Times New Roman"/>
                <w:sz w:val="24"/>
                <w:szCs w:val="24"/>
              </w:rPr>
              <w:t>Conference dinner</w:t>
            </w:r>
          </w:p>
        </w:tc>
        <w:tc>
          <w:tcPr>
            <w:tcW w:w="6570" w:type="dxa"/>
            <w:gridSpan w:val="2"/>
            <w:tcMar>
              <w:top w:w="0" w:type="dxa"/>
              <w:left w:w="100" w:type="dxa"/>
              <w:bottom w:w="0" w:type="dxa"/>
              <w:right w:w="100" w:type="dxa"/>
            </w:tcMar>
          </w:tcPr>
          <w:p w:rsidR="00AC7839" w:rsidRPr="000F6171" w:rsidRDefault="00000000">
            <w:pPr>
              <w:jc w:val="center"/>
              <w:rPr>
                <w:rFonts w:ascii="Times New Roman" w:eastAsia="Calibri" w:hAnsi="Times New Roman" w:cs="Times New Roman"/>
                <w:sz w:val="24"/>
                <w:szCs w:val="24"/>
              </w:rPr>
            </w:pPr>
            <w:r w:rsidRPr="000F6171">
              <w:rPr>
                <w:rFonts w:ascii="Times New Roman" w:eastAsia="Calibri" w:hAnsi="Times New Roman" w:cs="Times New Roman"/>
                <w:sz w:val="24"/>
                <w:szCs w:val="24"/>
              </w:rPr>
              <w:t>700 SEK (approx. 65 EUR)</w:t>
            </w:r>
          </w:p>
        </w:tc>
      </w:tr>
    </w:tbl>
    <w:p w:rsidR="00AC7839" w:rsidRPr="000F6171" w:rsidRDefault="00000000">
      <w:pPr>
        <w:spacing w:after="160" w:line="301" w:lineRule="auto"/>
        <w:jc w:val="both"/>
        <w:rPr>
          <w:rFonts w:ascii="Times New Roman" w:eastAsia="Calibri" w:hAnsi="Times New Roman" w:cs="Times New Roman"/>
          <w:sz w:val="20"/>
          <w:szCs w:val="20"/>
        </w:rPr>
      </w:pPr>
      <w:r w:rsidRPr="000F6171">
        <w:rPr>
          <w:rFonts w:ascii="Times New Roman" w:eastAsia="Calibri" w:hAnsi="Times New Roman" w:cs="Times New Roman"/>
          <w:sz w:val="20"/>
          <w:szCs w:val="20"/>
        </w:rPr>
        <w:t>Please note, the calculation in EUR is for informative purposes only. For the exact rates for the date of payment, please consult your bank.</w:t>
      </w:r>
    </w:p>
    <w:p w:rsidR="00AC7839" w:rsidRPr="000F6171" w:rsidRDefault="00000000">
      <w:pPr>
        <w:spacing w:before="240" w:after="240"/>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br/>
        <w:t>We are looking forward to seeing you in Uppsala!</w:t>
      </w:r>
    </w:p>
    <w:p w:rsidR="00AC7839" w:rsidRPr="000F6171" w:rsidRDefault="00000000">
      <w:pPr>
        <w:spacing w:after="160" w:line="301" w:lineRule="auto"/>
        <w:jc w:val="both"/>
        <w:rPr>
          <w:rFonts w:ascii="Times New Roman" w:eastAsia="Times New Roman" w:hAnsi="Times New Roman" w:cs="Times New Roman"/>
          <w:sz w:val="24"/>
          <w:szCs w:val="24"/>
        </w:rPr>
      </w:pPr>
      <w:r w:rsidRPr="000F6171">
        <w:rPr>
          <w:rFonts w:ascii="Times New Roman" w:eastAsia="Times New Roman" w:hAnsi="Times New Roman" w:cs="Times New Roman"/>
          <w:sz w:val="24"/>
          <w:szCs w:val="24"/>
        </w:rPr>
        <w:t xml:space="preserve">EAHL Board and the Steering Committee of the Conference </w:t>
      </w:r>
    </w:p>
    <w:p w:rsidR="00AC7839" w:rsidRPr="000F6171" w:rsidRDefault="00AC7839">
      <w:pPr>
        <w:rPr>
          <w:rFonts w:ascii="Times New Roman" w:hAnsi="Times New Roman" w:cs="Times New Roman"/>
          <w:sz w:val="24"/>
          <w:szCs w:val="24"/>
        </w:rPr>
      </w:pPr>
    </w:p>
    <w:sectPr w:rsidR="00AC7839" w:rsidRPr="000F617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F9C1C5CF-31A7-428E-B03F-E4BA7E357D54}"/>
  </w:font>
  <w:font w:name="Cambria">
    <w:panose1 w:val="02040503050406030204"/>
    <w:charset w:val="CC"/>
    <w:family w:val="roman"/>
    <w:pitch w:val="variable"/>
    <w:sig w:usb0="E00006FF" w:usb1="420024FF" w:usb2="02000000" w:usb3="00000000" w:csb0="0000019F" w:csb1="00000000"/>
    <w:embedRegular r:id="rId2" w:fontKey="{B85BD9D4-7266-44B3-BE9C-95B113B018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D3112"/>
    <w:multiLevelType w:val="multilevel"/>
    <w:tmpl w:val="90C44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7485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839"/>
    <w:rsid w:val="000F6171"/>
    <w:rsid w:val="001C69DF"/>
    <w:rsid w:val="00AC3FCC"/>
    <w:rsid w:val="00AC7839"/>
    <w:rsid w:val="00AD6A01"/>
    <w:rsid w:val="00BB54ED"/>
    <w:rsid w:val="00FF4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C6202"/>
  <w15:docId w15:val="{623AD7DB-17C0-A04F-829B-FF4287727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eahl2026.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845</Words>
  <Characters>4819</Characters>
  <Application>Microsoft Office Word</Application>
  <DocSecurity>0</DocSecurity>
  <Lines>40</Lines>
  <Paragraphs>11</Paragraphs>
  <ScaleCrop>false</ScaleCrop>
  <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Lala Jafarova</cp:lastModifiedBy>
  <cp:revision>3</cp:revision>
  <dcterms:created xsi:type="dcterms:W3CDTF">2026-01-20T12:43:00Z</dcterms:created>
  <dcterms:modified xsi:type="dcterms:W3CDTF">2026-01-20T13:32:00Z</dcterms:modified>
</cp:coreProperties>
</file>